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EAF2B" w14:textId="77777777" w:rsidR="00D449F6" w:rsidRDefault="00D449F6" w:rsidP="00316A7B">
      <w:pPr>
        <w:spacing w:after="120" w:line="240" w:lineRule="auto"/>
        <w:rPr>
          <w:lang w:val="en-US"/>
        </w:rPr>
      </w:pPr>
    </w:p>
    <w:p w14:paraId="09BF5FC5" w14:textId="77777777" w:rsidR="00E37194" w:rsidRDefault="00E37194" w:rsidP="00316A7B">
      <w:pPr>
        <w:spacing w:after="120" w:line="240" w:lineRule="auto"/>
        <w:jc w:val="center"/>
        <w:rPr>
          <w:b/>
          <w:sz w:val="32"/>
          <w:szCs w:val="32"/>
          <w:lang w:val="en-US"/>
        </w:rPr>
      </w:pPr>
      <w:r w:rsidRPr="00E37194">
        <w:rPr>
          <w:b/>
          <w:sz w:val="32"/>
          <w:szCs w:val="32"/>
          <w:lang w:val="en-US"/>
        </w:rPr>
        <w:t xml:space="preserve">Higher-order effects and validity of the point-dipole approximation for conjugated extended molecular emitters near plasmonic nanostructures </w:t>
      </w:r>
    </w:p>
    <w:p w14:paraId="53B6B481" w14:textId="18A391F5" w:rsidR="0041745A" w:rsidRPr="00690A45" w:rsidRDefault="00690A45" w:rsidP="00316A7B">
      <w:pPr>
        <w:spacing w:after="12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Colin Van </w:t>
      </w:r>
      <w:proofErr w:type="spellStart"/>
      <w:proofErr w:type="gramStart"/>
      <w:r>
        <w:rPr>
          <w:sz w:val="24"/>
          <w:szCs w:val="24"/>
          <w:lang w:val="en-US"/>
        </w:rPr>
        <w:t>Dyck</w:t>
      </w:r>
      <w:r w:rsidR="0041745A" w:rsidRPr="0041745A">
        <w:rPr>
          <w:sz w:val="24"/>
          <w:szCs w:val="24"/>
          <w:lang w:val="en-US"/>
        </w:rPr>
        <w:t>,</w:t>
      </w:r>
      <w:r w:rsidR="0041745A" w:rsidRPr="0041745A">
        <w:rPr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="0041745A" w:rsidRPr="0041745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Mhamad Hantro</w:t>
      </w:r>
      <w:r w:rsidR="007B226F">
        <w:rPr>
          <w:sz w:val="24"/>
          <w:szCs w:val="24"/>
          <w:lang w:val="en-US"/>
        </w:rPr>
        <w:t>,</w:t>
      </w:r>
      <w:r w:rsidRPr="00690A45">
        <w:rPr>
          <w:sz w:val="24"/>
          <w:szCs w:val="24"/>
          <w:vertAlign w:val="superscript"/>
          <w:lang w:val="en-US"/>
        </w:rPr>
        <w:t xml:space="preserve"> </w:t>
      </w:r>
      <w:r w:rsidRPr="0041745A">
        <w:rPr>
          <w:sz w:val="24"/>
          <w:szCs w:val="24"/>
          <w:vertAlign w:val="superscript"/>
          <w:lang w:val="en-US"/>
        </w:rPr>
        <w:t>a</w:t>
      </w:r>
      <w:r w:rsidR="0041745A" w:rsidRPr="0041745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Bjorn </w:t>
      </w:r>
      <w:proofErr w:type="spellStart"/>
      <w:r>
        <w:rPr>
          <w:sz w:val="24"/>
          <w:szCs w:val="24"/>
          <w:lang w:val="en-US"/>
        </w:rPr>
        <w:t>Maes</w:t>
      </w:r>
      <w:r w:rsidR="007B226F">
        <w:rPr>
          <w:sz w:val="24"/>
          <w:szCs w:val="24"/>
          <w:lang w:val="en-US"/>
        </w:rPr>
        <w:t>,</w:t>
      </w:r>
      <w:r w:rsidRPr="0041745A">
        <w:rPr>
          <w:sz w:val="24"/>
          <w:szCs w:val="24"/>
          <w:vertAlign w:val="superscript"/>
          <w:lang w:val="en-US"/>
        </w:rPr>
        <w:t>b</w:t>
      </w:r>
      <w:proofErr w:type="spellEnd"/>
      <w:r w:rsidR="007B226F" w:rsidRPr="0041745A">
        <w:rPr>
          <w:sz w:val="24"/>
          <w:szCs w:val="24"/>
          <w:lang w:val="en-US"/>
        </w:rPr>
        <w:t xml:space="preserve"> </w:t>
      </w:r>
      <w:r w:rsidR="00025A84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 xml:space="preserve">Gilles </w:t>
      </w:r>
      <w:proofErr w:type="spellStart"/>
      <w:r>
        <w:rPr>
          <w:sz w:val="24"/>
          <w:szCs w:val="24"/>
          <w:lang w:val="en-US"/>
        </w:rPr>
        <w:t>Rosolen</w:t>
      </w:r>
      <w:r w:rsidRPr="0041745A">
        <w:rPr>
          <w:sz w:val="24"/>
          <w:szCs w:val="24"/>
          <w:vertAlign w:val="superscript"/>
          <w:lang w:val="en-US"/>
        </w:rPr>
        <w:t>b</w:t>
      </w:r>
      <w:proofErr w:type="spellEnd"/>
    </w:p>
    <w:p w14:paraId="2A3CAED5" w14:textId="37CA206A" w:rsidR="005D6185" w:rsidRPr="00025A84" w:rsidRDefault="0041745A" w:rsidP="00316A7B">
      <w:pPr>
        <w:spacing w:after="0" w:line="240" w:lineRule="auto"/>
        <w:jc w:val="center"/>
        <w:rPr>
          <w:i/>
          <w:sz w:val="20"/>
          <w:szCs w:val="20"/>
          <w:lang w:val="en-US"/>
        </w:rPr>
      </w:pPr>
      <w:r w:rsidRPr="00025A84">
        <w:rPr>
          <w:i/>
          <w:sz w:val="20"/>
          <w:szCs w:val="20"/>
          <w:vertAlign w:val="superscript"/>
          <w:lang w:val="en-US"/>
        </w:rPr>
        <w:t>a</w:t>
      </w:r>
      <w:r w:rsidR="005D6185" w:rsidRPr="00025A84">
        <w:rPr>
          <w:lang w:val="en-US"/>
        </w:rPr>
        <w:t xml:space="preserve"> </w:t>
      </w:r>
      <w:r w:rsidR="005D6185" w:rsidRPr="00025A84">
        <w:rPr>
          <w:i/>
          <w:sz w:val="20"/>
          <w:szCs w:val="20"/>
          <w:lang w:val="en-US"/>
        </w:rPr>
        <w:t xml:space="preserve">University of Mons, </w:t>
      </w:r>
      <w:r w:rsidR="00025A84" w:rsidRPr="00025A84">
        <w:rPr>
          <w:i/>
          <w:sz w:val="20"/>
          <w:szCs w:val="20"/>
          <w:lang w:val="en-US"/>
        </w:rPr>
        <w:t>Theore</w:t>
      </w:r>
      <w:r w:rsidR="00025A84">
        <w:rPr>
          <w:i/>
          <w:sz w:val="20"/>
          <w:szCs w:val="20"/>
          <w:lang w:val="en-US"/>
        </w:rPr>
        <w:t>tical Chemical Physics group</w:t>
      </w:r>
      <w:r w:rsidR="005D6185" w:rsidRPr="00025A84">
        <w:rPr>
          <w:i/>
          <w:sz w:val="20"/>
          <w:szCs w:val="20"/>
          <w:lang w:val="en-US"/>
        </w:rPr>
        <w:t xml:space="preserve">, </w:t>
      </w:r>
      <w:r w:rsidR="00025A84" w:rsidRPr="00025A84">
        <w:rPr>
          <w:i/>
          <w:sz w:val="20"/>
          <w:szCs w:val="20"/>
          <w:lang w:val="en-US"/>
        </w:rPr>
        <w:t>Research Institute for Materials Science and Engineering</w:t>
      </w:r>
      <w:r w:rsidR="00025A84">
        <w:rPr>
          <w:i/>
          <w:sz w:val="20"/>
          <w:szCs w:val="20"/>
          <w:lang w:val="en-US"/>
        </w:rPr>
        <w:t xml:space="preserve"> Place du Parc</w:t>
      </w:r>
      <w:r w:rsidR="005D6185" w:rsidRPr="00025A84">
        <w:rPr>
          <w:i/>
          <w:sz w:val="20"/>
          <w:szCs w:val="20"/>
          <w:lang w:val="en-US"/>
        </w:rPr>
        <w:t xml:space="preserve"> </w:t>
      </w:r>
      <w:r w:rsidR="00025A84">
        <w:rPr>
          <w:i/>
          <w:sz w:val="20"/>
          <w:szCs w:val="20"/>
          <w:lang w:val="en-US"/>
        </w:rPr>
        <w:t>20</w:t>
      </w:r>
      <w:r w:rsidR="005D6185" w:rsidRPr="00025A84">
        <w:rPr>
          <w:i/>
          <w:sz w:val="20"/>
          <w:szCs w:val="20"/>
          <w:lang w:val="en-US"/>
        </w:rPr>
        <w:t>, Mons, Belgium</w:t>
      </w:r>
    </w:p>
    <w:p w14:paraId="2F42565A" w14:textId="27CC8131" w:rsidR="0041745A" w:rsidRPr="0041745A" w:rsidRDefault="005D6185" w:rsidP="00025A84">
      <w:pPr>
        <w:spacing w:after="0" w:line="240" w:lineRule="auto"/>
        <w:jc w:val="center"/>
        <w:rPr>
          <w:u w:val="single"/>
          <w:lang w:val="en-US"/>
        </w:rPr>
      </w:pPr>
      <w:r w:rsidRPr="00025A84">
        <w:rPr>
          <w:i/>
          <w:sz w:val="20"/>
          <w:szCs w:val="20"/>
          <w:lang w:val="en-US"/>
        </w:rPr>
        <w:t xml:space="preserve"> </w:t>
      </w:r>
      <w:r w:rsidR="0041745A" w:rsidRPr="0041745A">
        <w:rPr>
          <w:i/>
          <w:sz w:val="20"/>
          <w:szCs w:val="20"/>
          <w:vertAlign w:val="superscript"/>
          <w:lang w:val="en-US"/>
        </w:rPr>
        <w:t>b</w:t>
      </w:r>
      <w:r w:rsidR="00025A84" w:rsidRPr="00025A84">
        <w:rPr>
          <w:lang w:val="en-US"/>
        </w:rPr>
        <w:t xml:space="preserve"> </w:t>
      </w:r>
      <w:r w:rsidR="00025A84" w:rsidRPr="00025A84">
        <w:rPr>
          <w:i/>
          <w:sz w:val="20"/>
          <w:szCs w:val="20"/>
          <w:lang w:val="en-US"/>
        </w:rPr>
        <w:t>University of Mons, Micro- and Nanophotonic Materials Group, Research Institute for Materials Science and Engineering, Place du Parc 21, Mons, Belgium</w:t>
      </w:r>
    </w:p>
    <w:p w14:paraId="1EF79117" w14:textId="77777777" w:rsidR="003226E2" w:rsidRPr="00316A7B" w:rsidRDefault="0041745A" w:rsidP="00316A7B">
      <w:pPr>
        <w:spacing w:after="120" w:line="240" w:lineRule="auto"/>
        <w:jc w:val="both"/>
        <w:rPr>
          <w:u w:val="single"/>
          <w:lang w:val="en-US"/>
        </w:rPr>
      </w:pPr>
      <w:r w:rsidRPr="00316A7B">
        <w:rPr>
          <w:u w:val="single"/>
          <w:lang w:val="en-US"/>
        </w:rPr>
        <w:t>Abstract</w:t>
      </w:r>
      <w:r w:rsidR="003226E2" w:rsidRPr="00316A7B">
        <w:rPr>
          <w:u w:val="single"/>
          <w:lang w:val="en-US"/>
        </w:rPr>
        <w:t>:</w:t>
      </w:r>
    </w:p>
    <w:p w14:paraId="1062BCCE" w14:textId="11624813" w:rsidR="009B37CB" w:rsidRDefault="00025A84" w:rsidP="00354A51"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 xml:space="preserve">Recent experiments showed that light emission from a molecule can be triggered by inelastic electron tunnelling through a molecular device. </w:t>
      </w:r>
      <w:r w:rsidR="009B37CB">
        <w:rPr>
          <w:lang w:val="en-US"/>
        </w:rPr>
        <w:t xml:space="preserve">The electronic current promotes the molecule in an excited state, and further deexcitation </w:t>
      </w:r>
      <w:r w:rsidR="00DD23C0">
        <w:rPr>
          <w:lang w:val="en-US"/>
        </w:rPr>
        <w:t>process leads to photon emission</w:t>
      </w:r>
      <w:r w:rsidR="009B37CB">
        <w:rPr>
          <w:lang w:val="en-US"/>
        </w:rPr>
        <w:t>.</w:t>
      </w:r>
      <w:r w:rsidR="005E6DF5" w:rsidRPr="00A273AD">
        <w:rPr>
          <w:rFonts w:ascii="Calibri" w:hAnsi="Calibri" w:cs="Calibri"/>
          <w:vertAlign w:val="superscript"/>
          <w:lang w:val="en-US"/>
        </w:rPr>
        <w:t>1</w:t>
      </w:r>
      <w:r w:rsidR="009B37CB">
        <w:rPr>
          <w:lang w:val="en-US"/>
        </w:rPr>
        <w:t xml:space="preserve"> </w:t>
      </w:r>
      <w:r>
        <w:rPr>
          <w:lang w:val="en-US"/>
        </w:rPr>
        <w:t xml:space="preserve">Very interestingly, </w:t>
      </w:r>
      <w:r w:rsidR="009B37CB">
        <w:rPr>
          <w:lang w:val="en-US"/>
        </w:rPr>
        <w:t xml:space="preserve">the metallic tip is a plasmonic nanostructure. Those specific environments are known to strongly enhance the light emission rate, which is named as </w:t>
      </w:r>
      <w:r w:rsidR="00DD23C0">
        <w:rPr>
          <w:lang w:val="en-US"/>
        </w:rPr>
        <w:t xml:space="preserve">the </w:t>
      </w:r>
      <w:r w:rsidR="009B37CB">
        <w:rPr>
          <w:lang w:val="en-US"/>
        </w:rPr>
        <w:t>Purcell effect in literature.</w:t>
      </w:r>
      <w:r w:rsidR="00DD23C0">
        <w:rPr>
          <w:lang w:val="en-US"/>
        </w:rPr>
        <w:t xml:space="preserve"> This strong enhancement effect enables optical detection of </w:t>
      </w:r>
      <w:r w:rsidR="00B63D6B">
        <w:rPr>
          <w:lang w:val="en-US"/>
        </w:rPr>
        <w:t>s</w:t>
      </w:r>
      <w:r w:rsidR="00DD23C0">
        <w:rPr>
          <w:lang w:val="en-US"/>
        </w:rPr>
        <w:t>ingle molecule</w:t>
      </w:r>
      <w:r w:rsidR="00B63D6B">
        <w:rPr>
          <w:lang w:val="en-US"/>
        </w:rPr>
        <w:t xml:space="preserve"> fluorescence</w:t>
      </w:r>
      <w:r w:rsidR="00DD23C0">
        <w:rPr>
          <w:lang w:val="en-US"/>
        </w:rPr>
        <w:t xml:space="preserve"> or the well-known surface-enhancement effect in Raman spectroscopy.</w:t>
      </w:r>
      <w:r w:rsidR="005E6DF5" w:rsidRPr="005E6DF5">
        <w:rPr>
          <w:rFonts w:ascii="Calibri" w:hAnsi="Calibri" w:cs="Calibri"/>
          <w:vertAlign w:val="superscript"/>
          <w:lang w:val="en-US"/>
        </w:rPr>
        <w:t>2</w:t>
      </w:r>
    </w:p>
    <w:p w14:paraId="572ECB89" w14:textId="50E496FA" w:rsidR="00354A51" w:rsidRPr="00354A51" w:rsidRDefault="00354A51" w:rsidP="00354A51">
      <w:pPr>
        <w:spacing w:after="120" w:line="240" w:lineRule="auto"/>
        <w:jc w:val="both"/>
        <w:rPr>
          <w:lang w:val="en-US"/>
        </w:rPr>
      </w:pPr>
      <w:r w:rsidRPr="00354A51">
        <w:rPr>
          <w:lang w:val="en-US"/>
        </w:rPr>
        <w:t xml:space="preserve">Light emission from a molecule is usually approximated as being emitted from an oscillating point-dipole, with the transition dipole moment as a key-property. </w:t>
      </w:r>
      <w:r w:rsidR="00B63D6B">
        <w:rPr>
          <w:lang w:val="en-US"/>
        </w:rPr>
        <w:t xml:space="preserve">This approximation generally prevails in the characterization of light emission from molecules, in various environments such as solution but also near plasmonic structures. </w:t>
      </w:r>
      <w:r w:rsidRPr="00354A51">
        <w:rPr>
          <w:lang w:val="en-US"/>
        </w:rPr>
        <w:t xml:space="preserve">More recently, it has been </w:t>
      </w:r>
      <w:r w:rsidR="00B63D6B">
        <w:rPr>
          <w:lang w:val="en-US"/>
        </w:rPr>
        <w:t>suggested</w:t>
      </w:r>
      <w:r w:rsidRPr="00354A51">
        <w:rPr>
          <w:lang w:val="en-US"/>
        </w:rPr>
        <w:t xml:space="preserve"> that </w:t>
      </w:r>
      <w:r w:rsidR="00DD23C0">
        <w:rPr>
          <w:lang w:val="en-US"/>
        </w:rPr>
        <w:t>plasmonic nano</w:t>
      </w:r>
      <w:r w:rsidRPr="00354A51">
        <w:rPr>
          <w:lang w:val="en-US"/>
        </w:rPr>
        <w:t xml:space="preserve">structures </w:t>
      </w:r>
      <w:r w:rsidR="00DD23C0">
        <w:rPr>
          <w:lang w:val="en-US"/>
        </w:rPr>
        <w:t xml:space="preserve">may </w:t>
      </w:r>
      <w:r w:rsidRPr="00354A51">
        <w:rPr>
          <w:lang w:val="en-US"/>
        </w:rPr>
        <w:t>confine light to effective wavelengths within the sub-molecular scale.</w:t>
      </w:r>
      <w:r w:rsidR="005E6DF5" w:rsidRPr="005E6DF5">
        <w:rPr>
          <w:rFonts w:ascii="Calibri" w:hAnsi="Calibri" w:cs="Calibri"/>
          <w:vertAlign w:val="superscript"/>
          <w:lang w:val="en-US"/>
        </w:rPr>
        <w:t>3</w:t>
      </w:r>
      <w:r w:rsidRPr="00354A51">
        <w:rPr>
          <w:lang w:val="en-US"/>
        </w:rPr>
        <w:t xml:space="preserve"> Consequently, the question of whether the standard description of a molecular emitter as a point-dipole, i.e., the unique consideration of the transition dipole moment, remains a reasonable assumption. </w:t>
      </w:r>
    </w:p>
    <w:p w14:paraId="1D714A79" w14:textId="1D4F2885" w:rsidR="0041745A" w:rsidRPr="0041745A" w:rsidRDefault="00354A51" w:rsidP="00354A51">
      <w:pPr>
        <w:spacing w:after="120" w:line="240" w:lineRule="auto"/>
        <w:jc w:val="both"/>
        <w:rPr>
          <w:lang w:val="en-US"/>
        </w:rPr>
      </w:pPr>
      <w:r w:rsidRPr="00354A51">
        <w:rPr>
          <w:lang w:val="en-US"/>
        </w:rPr>
        <w:t xml:space="preserve">In this presentation, </w:t>
      </w:r>
      <w:r w:rsidR="00B63D6B">
        <w:rPr>
          <w:lang w:val="en-US"/>
        </w:rPr>
        <w:t>we</w:t>
      </w:r>
      <w:r w:rsidRPr="00354A51">
        <w:rPr>
          <w:lang w:val="en-US"/>
        </w:rPr>
        <w:t xml:space="preserve"> introduce a theoretical framework to explore the limits of this standard description. It allows us to calculate the fluorescence emission rate of a quantum emitter, described at the TD-DFT level, within a </w:t>
      </w:r>
      <w:proofErr w:type="spellStart"/>
      <w:r w:rsidRPr="00354A51">
        <w:rPr>
          <w:lang w:val="en-US"/>
        </w:rPr>
        <w:t>nanoplasmonic</w:t>
      </w:r>
      <w:proofErr w:type="spellEnd"/>
      <w:r w:rsidRPr="00354A51">
        <w:rPr>
          <w:lang w:val="en-US"/>
        </w:rPr>
        <w:t xml:space="preserve"> environment, described by solving Maxwell equations. It is used to characterize the emission rate of </w:t>
      </w:r>
      <w:r w:rsidR="006A1888">
        <w:rPr>
          <w:lang w:val="en-US"/>
        </w:rPr>
        <w:t xml:space="preserve">different </w:t>
      </w:r>
      <w:r w:rsidRPr="00354A51">
        <w:rPr>
          <w:lang w:val="en-US"/>
        </w:rPr>
        <w:t xml:space="preserve">conjugated </w:t>
      </w:r>
      <w:proofErr w:type="gramStart"/>
      <w:r w:rsidRPr="00354A51">
        <w:rPr>
          <w:lang w:val="en-US"/>
        </w:rPr>
        <w:t>emitters :</w:t>
      </w:r>
      <w:proofErr w:type="gramEnd"/>
      <w:r w:rsidRPr="00354A51">
        <w:rPr>
          <w:lang w:val="en-US"/>
        </w:rPr>
        <w:t xml:space="preserve"> (</w:t>
      </w:r>
      <w:proofErr w:type="spellStart"/>
      <w:r w:rsidRPr="00354A51">
        <w:rPr>
          <w:lang w:val="en-US"/>
        </w:rPr>
        <w:t>i</w:t>
      </w:r>
      <w:proofErr w:type="spellEnd"/>
      <w:r w:rsidRPr="00354A51">
        <w:rPr>
          <w:lang w:val="en-US"/>
        </w:rPr>
        <w:t xml:space="preserve">) an H2Pc molecule </w:t>
      </w:r>
      <w:r w:rsidR="00B63D6B">
        <w:rPr>
          <w:lang w:val="en-US"/>
        </w:rPr>
        <w:t xml:space="preserve">within an STM </w:t>
      </w:r>
      <w:r w:rsidRPr="00354A51">
        <w:rPr>
          <w:lang w:val="en-US"/>
        </w:rPr>
        <w:t>tip-substrate nanogap and (ii) oligothiophenes of different chain lengths (0.8, 1.6 and 2.4 nm) near gold nanospheres.</w:t>
      </w:r>
      <w:r w:rsidR="00E3751D">
        <w:rPr>
          <w:lang w:val="en-US"/>
        </w:rPr>
        <w:t xml:space="preserve"> </w:t>
      </w:r>
      <w:r w:rsidRPr="00354A51">
        <w:rPr>
          <w:lang w:val="en-US"/>
        </w:rPr>
        <w:t>Significant deviations from the point-dipole approximation are predicte</w:t>
      </w:r>
      <w:r w:rsidR="006A1888">
        <w:rPr>
          <w:lang w:val="en-US"/>
        </w:rPr>
        <w:t xml:space="preserve">d for those elementary structures and environments. </w:t>
      </w:r>
      <w:r w:rsidRPr="00354A51">
        <w:rPr>
          <w:lang w:val="en-US"/>
        </w:rPr>
        <w:t>This result is due to complex high-order multipolar effects</w:t>
      </w:r>
      <w:r w:rsidR="00E3751D">
        <w:rPr>
          <w:lang w:val="en-US"/>
        </w:rPr>
        <w:t xml:space="preserve">. </w:t>
      </w:r>
      <w:r w:rsidRPr="00354A51">
        <w:rPr>
          <w:lang w:val="en-US"/>
        </w:rPr>
        <w:t>Consequently, the usual description of a molecule using the transition dipole moment breaks down. This paves the way toward high-order photochemistry, with, for example, the activation of dipole-forbidden transitions</w:t>
      </w:r>
      <w:r w:rsidR="006A1888">
        <w:rPr>
          <w:lang w:val="en-US"/>
        </w:rPr>
        <w:t xml:space="preserve"> revealing usually dark spectroscopic features.</w:t>
      </w:r>
      <w:r w:rsidR="005E6DF5" w:rsidRPr="00A273AD">
        <w:rPr>
          <w:rFonts w:ascii="Calibri" w:hAnsi="Calibri" w:cs="Calibri"/>
          <w:vertAlign w:val="superscript"/>
          <w:lang w:val="en-US"/>
        </w:rPr>
        <w:t>1</w:t>
      </w:r>
    </w:p>
    <w:p w14:paraId="61684A44" w14:textId="77777777" w:rsidR="00E3751D" w:rsidRPr="000614A5" w:rsidRDefault="00E3751D" w:rsidP="00316A7B">
      <w:pPr>
        <w:spacing w:after="120" w:line="240" w:lineRule="auto"/>
        <w:jc w:val="center"/>
        <w:rPr>
          <w:sz w:val="4"/>
          <w:szCs w:val="4"/>
          <w:lang w:val="en-US"/>
        </w:rPr>
      </w:pPr>
    </w:p>
    <w:p w14:paraId="5CF3AAFB" w14:textId="598F16BE" w:rsidR="0041745A" w:rsidRPr="00A273AD" w:rsidRDefault="00E3751D" w:rsidP="00316A7B">
      <w:pPr>
        <w:spacing w:after="120" w:line="240" w:lineRule="auto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47F7344" wp14:editId="159083A7">
            <wp:extent cx="2368984" cy="1166884"/>
            <wp:effectExtent l="0" t="0" r="0" b="0"/>
            <wp:docPr id="1260430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34"/>
                    <a:stretch/>
                  </pic:blipFill>
                  <pic:spPr bwMode="auto">
                    <a:xfrm flipH="1">
                      <a:off x="0" y="0"/>
                      <a:ext cx="2453317" cy="12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8C929" w14:textId="772EF46D" w:rsidR="0041745A" w:rsidRDefault="00E3751D" w:rsidP="00316A7B">
      <w:pPr>
        <w:spacing w:after="120" w:line="240" w:lineRule="auto"/>
        <w:jc w:val="center"/>
        <w:rPr>
          <w:i/>
          <w:sz w:val="20"/>
          <w:szCs w:val="20"/>
          <w:lang w:val="en-US"/>
        </w:rPr>
      </w:pPr>
      <w:r w:rsidRPr="00E3751D">
        <w:rPr>
          <w:i/>
          <w:sz w:val="20"/>
          <w:szCs w:val="20"/>
          <w:lang w:val="en-US"/>
        </w:rPr>
        <w:t>H</w:t>
      </w:r>
      <w:r w:rsidRPr="00E3751D">
        <w:rPr>
          <w:i/>
          <w:sz w:val="20"/>
          <w:szCs w:val="20"/>
          <w:vertAlign w:val="subscript"/>
          <w:lang w:val="en-US"/>
        </w:rPr>
        <w:t>2</w:t>
      </w:r>
      <w:r w:rsidRPr="00E3751D">
        <w:rPr>
          <w:i/>
          <w:sz w:val="20"/>
          <w:szCs w:val="20"/>
          <w:lang w:val="en-US"/>
        </w:rPr>
        <w:t>P</w:t>
      </w:r>
      <w:r>
        <w:rPr>
          <w:i/>
          <w:sz w:val="20"/>
          <w:szCs w:val="20"/>
          <w:lang w:val="en-US"/>
        </w:rPr>
        <w:t>c</w:t>
      </w:r>
      <w:r w:rsidRPr="00E3751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molecular emitter</w:t>
      </w:r>
      <w:r w:rsidRPr="00E3751D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 xml:space="preserve">lying on a substrate and </w:t>
      </w:r>
      <w:r w:rsidRPr="00E3751D">
        <w:rPr>
          <w:i/>
          <w:sz w:val="20"/>
          <w:szCs w:val="20"/>
          <w:lang w:val="en-US"/>
        </w:rPr>
        <w:t>optically coupled t</w:t>
      </w:r>
      <w:r>
        <w:rPr>
          <w:i/>
          <w:sz w:val="20"/>
          <w:szCs w:val="20"/>
          <w:lang w:val="en-US"/>
        </w:rPr>
        <w:t>o a plasmonic STM tip</w:t>
      </w:r>
    </w:p>
    <w:p w14:paraId="5B23CF52" w14:textId="77777777" w:rsidR="000614A5" w:rsidRPr="000614A5" w:rsidRDefault="000614A5" w:rsidP="00316A7B">
      <w:pPr>
        <w:spacing w:after="120" w:line="240" w:lineRule="auto"/>
        <w:jc w:val="center"/>
        <w:rPr>
          <w:i/>
          <w:sz w:val="2"/>
          <w:szCs w:val="2"/>
          <w:lang w:val="en-US"/>
        </w:rPr>
      </w:pPr>
    </w:p>
    <w:p w14:paraId="67B280AE" w14:textId="20DD6455" w:rsidR="003226E2" w:rsidRPr="00E3751D" w:rsidRDefault="0041745A" w:rsidP="00316A7B">
      <w:pPr>
        <w:spacing w:after="120" w:line="240" w:lineRule="auto"/>
        <w:jc w:val="both"/>
        <w:rPr>
          <w:sz w:val="20"/>
          <w:szCs w:val="20"/>
          <w:u w:val="single"/>
        </w:rPr>
      </w:pPr>
      <w:proofErr w:type="spellStart"/>
      <w:proofErr w:type="gramStart"/>
      <w:r w:rsidRPr="00E3751D">
        <w:rPr>
          <w:sz w:val="20"/>
          <w:szCs w:val="20"/>
          <w:u w:val="single"/>
        </w:rPr>
        <w:t>References</w:t>
      </w:r>
      <w:proofErr w:type="spellEnd"/>
      <w:r w:rsidRPr="00E3751D">
        <w:rPr>
          <w:sz w:val="20"/>
          <w:szCs w:val="20"/>
          <w:u w:val="single"/>
        </w:rPr>
        <w:t>:</w:t>
      </w:r>
      <w:proofErr w:type="gramEnd"/>
    </w:p>
    <w:p w14:paraId="5D417A44" w14:textId="0DBC2717" w:rsidR="005E6DF5" w:rsidRPr="00A273AD" w:rsidRDefault="005E6DF5" w:rsidP="005E6DF5">
      <w:pPr>
        <w:pStyle w:val="Bibliography"/>
        <w:rPr>
          <w:rFonts w:ascii="Calibri" w:hAnsi="Calibri" w:cs="Calibri"/>
          <w:sz w:val="20"/>
        </w:rPr>
      </w:pPr>
      <w:r w:rsidRPr="00A273AD">
        <w:rPr>
          <w:rFonts w:ascii="Calibri" w:hAnsi="Calibri" w:cs="Calibri"/>
          <w:sz w:val="20"/>
          <w:vertAlign w:val="superscript"/>
        </w:rPr>
        <w:t>1</w:t>
      </w:r>
      <w:r w:rsidRPr="00A273AD">
        <w:rPr>
          <w:rFonts w:ascii="Calibri" w:hAnsi="Calibri" w:cs="Calibri"/>
          <w:sz w:val="20"/>
        </w:rPr>
        <w:t xml:space="preserve"> S. Jiang, </w:t>
      </w:r>
      <w:r w:rsidR="00A273AD" w:rsidRPr="00A273AD">
        <w:rPr>
          <w:rFonts w:ascii="Calibri" w:hAnsi="Calibri" w:cs="Calibri"/>
          <w:sz w:val="20"/>
        </w:rPr>
        <w:t>et al</w:t>
      </w:r>
      <w:r w:rsidRPr="00A273AD">
        <w:rPr>
          <w:rFonts w:ascii="Calibri" w:hAnsi="Calibri" w:cs="Calibri"/>
          <w:sz w:val="20"/>
        </w:rPr>
        <w:t xml:space="preserve">, Science </w:t>
      </w:r>
      <w:r w:rsidRPr="00A273AD">
        <w:rPr>
          <w:rFonts w:ascii="Calibri" w:hAnsi="Calibri" w:cs="Calibri"/>
          <w:b/>
          <w:bCs/>
          <w:sz w:val="20"/>
        </w:rPr>
        <w:t>379</w:t>
      </w:r>
      <w:r w:rsidRPr="00A273AD">
        <w:rPr>
          <w:rFonts w:ascii="Calibri" w:hAnsi="Calibri" w:cs="Calibri"/>
          <w:sz w:val="20"/>
        </w:rPr>
        <w:t>(6636), 1049–1054 (2023).</w:t>
      </w:r>
    </w:p>
    <w:p w14:paraId="33FC5B7F" w14:textId="05F41D50" w:rsidR="005E6DF5" w:rsidRPr="000614A5" w:rsidRDefault="005E6DF5" w:rsidP="005E6DF5">
      <w:pPr>
        <w:pStyle w:val="Bibliography"/>
        <w:rPr>
          <w:rFonts w:ascii="Calibri" w:hAnsi="Calibri" w:cs="Calibri"/>
          <w:sz w:val="20"/>
        </w:rPr>
      </w:pPr>
      <w:r w:rsidRPr="00A273AD">
        <w:rPr>
          <w:rFonts w:ascii="Calibri" w:hAnsi="Calibri" w:cs="Calibri"/>
          <w:sz w:val="20"/>
          <w:vertAlign w:val="superscript"/>
        </w:rPr>
        <w:t>2</w:t>
      </w:r>
      <w:r w:rsidRPr="00A273AD">
        <w:rPr>
          <w:rFonts w:ascii="Calibri" w:hAnsi="Calibri" w:cs="Calibri"/>
          <w:sz w:val="20"/>
        </w:rPr>
        <w:t xml:space="preserve"> G. Sun, </w:t>
      </w:r>
      <w:r w:rsidR="00A273AD" w:rsidRPr="00A273AD">
        <w:rPr>
          <w:rFonts w:ascii="Calibri" w:hAnsi="Calibri" w:cs="Calibri"/>
          <w:sz w:val="20"/>
        </w:rPr>
        <w:t>et al</w:t>
      </w:r>
      <w:r w:rsidRPr="00A273AD">
        <w:rPr>
          <w:rFonts w:ascii="Calibri" w:hAnsi="Calibri" w:cs="Calibri"/>
          <w:sz w:val="20"/>
        </w:rPr>
        <w:t xml:space="preserve">, Phys. </w:t>
      </w:r>
      <w:proofErr w:type="spellStart"/>
      <w:r w:rsidRPr="000614A5">
        <w:rPr>
          <w:rFonts w:ascii="Calibri" w:hAnsi="Calibri" w:cs="Calibri"/>
          <w:sz w:val="20"/>
        </w:rPr>
        <w:t>Rev</w:t>
      </w:r>
      <w:proofErr w:type="spellEnd"/>
      <w:r w:rsidRPr="000614A5">
        <w:rPr>
          <w:rFonts w:ascii="Calibri" w:hAnsi="Calibri" w:cs="Calibri"/>
          <w:sz w:val="20"/>
        </w:rPr>
        <w:t xml:space="preserve">. A </w:t>
      </w:r>
      <w:r w:rsidRPr="000614A5">
        <w:rPr>
          <w:rFonts w:ascii="Calibri" w:hAnsi="Calibri" w:cs="Calibri"/>
          <w:b/>
          <w:bCs/>
          <w:sz w:val="20"/>
        </w:rPr>
        <w:t>85</w:t>
      </w:r>
      <w:r w:rsidRPr="000614A5">
        <w:rPr>
          <w:rFonts w:ascii="Calibri" w:hAnsi="Calibri" w:cs="Calibri"/>
          <w:sz w:val="20"/>
        </w:rPr>
        <w:t>(6), 063410 (2012).</w:t>
      </w:r>
    </w:p>
    <w:p w14:paraId="74BC49BC" w14:textId="2D565F0F" w:rsidR="003226E2" w:rsidRPr="00E3751D" w:rsidRDefault="005E6DF5" w:rsidP="00E3751D">
      <w:pPr>
        <w:pStyle w:val="Bibliography"/>
        <w:rPr>
          <w:rFonts w:ascii="Calibri" w:hAnsi="Calibri" w:cs="Calibri"/>
          <w:sz w:val="20"/>
        </w:rPr>
      </w:pPr>
      <w:r w:rsidRPr="00A273AD">
        <w:rPr>
          <w:rFonts w:ascii="Calibri" w:hAnsi="Calibri" w:cs="Calibri"/>
          <w:sz w:val="20"/>
          <w:vertAlign w:val="superscript"/>
        </w:rPr>
        <w:t>3</w:t>
      </w:r>
      <w:r w:rsidRPr="00A273AD">
        <w:rPr>
          <w:rFonts w:ascii="Calibri" w:hAnsi="Calibri" w:cs="Calibri"/>
          <w:sz w:val="20"/>
        </w:rPr>
        <w:t xml:space="preserve"> N. Rivera,</w:t>
      </w:r>
      <w:r w:rsidR="00A273AD" w:rsidRPr="00A273AD">
        <w:rPr>
          <w:rFonts w:ascii="Calibri" w:hAnsi="Calibri" w:cs="Calibri"/>
          <w:sz w:val="20"/>
        </w:rPr>
        <w:t xml:space="preserve"> et al,</w:t>
      </w:r>
      <w:r w:rsidRPr="00A273AD">
        <w:rPr>
          <w:rFonts w:ascii="Calibri" w:hAnsi="Calibri" w:cs="Calibri"/>
          <w:sz w:val="20"/>
        </w:rPr>
        <w:t xml:space="preserve"> Science </w:t>
      </w:r>
      <w:r w:rsidRPr="00A273AD">
        <w:rPr>
          <w:rFonts w:ascii="Calibri" w:hAnsi="Calibri" w:cs="Calibri"/>
          <w:b/>
          <w:bCs/>
          <w:sz w:val="20"/>
        </w:rPr>
        <w:t>353</w:t>
      </w:r>
      <w:r w:rsidRPr="00A273AD">
        <w:rPr>
          <w:rFonts w:ascii="Calibri" w:hAnsi="Calibri" w:cs="Calibri"/>
          <w:sz w:val="20"/>
        </w:rPr>
        <w:t>(6296), 263–269 (2016).</w:t>
      </w:r>
    </w:p>
    <w:sectPr w:rsidR="003226E2" w:rsidRPr="00E3751D" w:rsidSect="0041745A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A7002" w14:textId="77777777" w:rsidR="001A6F4D" w:rsidRDefault="001A6F4D" w:rsidP="0041745A">
      <w:pPr>
        <w:spacing w:after="0" w:line="240" w:lineRule="auto"/>
      </w:pPr>
      <w:r>
        <w:separator/>
      </w:r>
    </w:p>
  </w:endnote>
  <w:endnote w:type="continuationSeparator" w:id="0">
    <w:p w14:paraId="411657F8" w14:textId="77777777" w:rsidR="001A6F4D" w:rsidRDefault="001A6F4D" w:rsidP="004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9196" w14:textId="77777777" w:rsidR="001A6F4D" w:rsidRDefault="001A6F4D" w:rsidP="0041745A">
      <w:pPr>
        <w:spacing w:after="0" w:line="240" w:lineRule="auto"/>
      </w:pPr>
      <w:r>
        <w:separator/>
      </w:r>
    </w:p>
  </w:footnote>
  <w:footnote w:type="continuationSeparator" w:id="0">
    <w:p w14:paraId="73A367ED" w14:textId="77777777" w:rsidR="001A6F4D" w:rsidRDefault="001A6F4D" w:rsidP="0041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9841" w14:textId="77777777" w:rsidR="0041745A" w:rsidRPr="00F04761" w:rsidRDefault="000614A5" w:rsidP="00852C75">
    <w:pPr>
      <w:pStyle w:val="Header"/>
      <w:ind w:left="-284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fr-FR"/>
      </w:rPr>
      <w:pict w14:anchorId="12D91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0.85pt;height:45.15pt">
          <v:imagedata r:id="rId1" o:title="GDR-NEMO-logo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1076"/>
    <w:multiLevelType w:val="hybridMultilevel"/>
    <w:tmpl w:val="261E91D4"/>
    <w:lvl w:ilvl="0" w:tplc="2624A3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8077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5A"/>
    <w:rsid w:val="00025A84"/>
    <w:rsid w:val="000614A5"/>
    <w:rsid w:val="001A6F4D"/>
    <w:rsid w:val="001D4F96"/>
    <w:rsid w:val="00240F5A"/>
    <w:rsid w:val="00316A7B"/>
    <w:rsid w:val="003226E2"/>
    <w:rsid w:val="00354A51"/>
    <w:rsid w:val="003B0012"/>
    <w:rsid w:val="003E095C"/>
    <w:rsid w:val="0041745A"/>
    <w:rsid w:val="00456E2A"/>
    <w:rsid w:val="004F6245"/>
    <w:rsid w:val="00524D67"/>
    <w:rsid w:val="0053587A"/>
    <w:rsid w:val="005D6185"/>
    <w:rsid w:val="005E6DF5"/>
    <w:rsid w:val="0068615D"/>
    <w:rsid w:val="00690A45"/>
    <w:rsid w:val="006A1888"/>
    <w:rsid w:val="007267EB"/>
    <w:rsid w:val="0075175A"/>
    <w:rsid w:val="00753758"/>
    <w:rsid w:val="007B226F"/>
    <w:rsid w:val="007D2B47"/>
    <w:rsid w:val="00852C75"/>
    <w:rsid w:val="00874E6F"/>
    <w:rsid w:val="00882D91"/>
    <w:rsid w:val="00961F17"/>
    <w:rsid w:val="009647D6"/>
    <w:rsid w:val="009B37CB"/>
    <w:rsid w:val="00A22C4C"/>
    <w:rsid w:val="00A273AD"/>
    <w:rsid w:val="00A56369"/>
    <w:rsid w:val="00AF3C02"/>
    <w:rsid w:val="00B07B31"/>
    <w:rsid w:val="00B63D6B"/>
    <w:rsid w:val="00B67DFF"/>
    <w:rsid w:val="00B67E9A"/>
    <w:rsid w:val="00B71A31"/>
    <w:rsid w:val="00D3046E"/>
    <w:rsid w:val="00D449F6"/>
    <w:rsid w:val="00DD23C0"/>
    <w:rsid w:val="00DF791D"/>
    <w:rsid w:val="00E37194"/>
    <w:rsid w:val="00E3751D"/>
    <w:rsid w:val="00EF3C20"/>
    <w:rsid w:val="00F04761"/>
    <w:rsid w:val="00F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5119CF"/>
  <w15:docId w15:val="{EC87CF78-B860-45EB-B70D-D205A36E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5A"/>
  </w:style>
  <w:style w:type="paragraph" w:styleId="Footer">
    <w:name w:val="footer"/>
    <w:basedOn w:val="Normal"/>
    <w:link w:val="FooterChar"/>
    <w:uiPriority w:val="99"/>
    <w:unhideWhenUsed/>
    <w:rsid w:val="0041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5A"/>
  </w:style>
  <w:style w:type="paragraph" w:styleId="BalloonText">
    <w:name w:val="Balloon Text"/>
    <w:basedOn w:val="Normal"/>
    <w:link w:val="BalloonTextChar"/>
    <w:uiPriority w:val="99"/>
    <w:semiHidden/>
    <w:unhideWhenUsed/>
    <w:rsid w:val="0041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6E2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E6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CAMPIDELLI Stephane</dc:creator>
  <cp:lastModifiedBy>Colin VAN DYCK</cp:lastModifiedBy>
  <cp:revision>16</cp:revision>
  <dcterms:created xsi:type="dcterms:W3CDTF">2019-11-04T12:45:00Z</dcterms:created>
  <dcterms:modified xsi:type="dcterms:W3CDTF">2024-07-18T14:01:00Z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id="vng7SSgq"/&gt;&lt;style id="http://www.zotero.org/styles/apl-materials" hasBibliography="1" bibliographyStyleHasBeenSet="1"/&gt;&lt;prefs&gt;&lt;pref name="fieldType" value="Field"/&gt;&lt;/prefs&gt;&lt;/data&gt;</vt:lpwstr>
  </property>
</Properties>
</file>